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1646" w14:textId="19D45828" w:rsidR="000A3945" w:rsidRDefault="000A3945" w:rsidP="000A3945">
      <w:pPr>
        <w:pStyle w:val="NormalWeb"/>
        <w:jc w:val="center"/>
      </w:pPr>
      <w:r>
        <w:rPr>
          <w:noProof/>
        </w:rPr>
        <w:drawing>
          <wp:inline distT="0" distB="0" distL="0" distR="0" wp14:anchorId="09C55BF2" wp14:editId="0D7CF3AB">
            <wp:extent cx="4720367" cy="2114550"/>
            <wp:effectExtent l="0" t="0" r="4445"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1396" cy="2123970"/>
                    </a:xfrm>
                    <a:prstGeom prst="rect">
                      <a:avLst/>
                    </a:prstGeom>
                    <a:noFill/>
                    <a:ln>
                      <a:noFill/>
                    </a:ln>
                  </pic:spPr>
                </pic:pic>
              </a:graphicData>
            </a:graphic>
          </wp:inline>
        </w:drawing>
      </w:r>
    </w:p>
    <w:p w14:paraId="07ECFC5A" w14:textId="133CA382" w:rsidR="000E242C" w:rsidRDefault="00141C6E" w:rsidP="00D670FA">
      <w:pPr>
        <w:spacing w:before="360"/>
        <w:jc w:val="center"/>
        <w:rPr>
          <w:b/>
          <w:bCs/>
          <w:color w:val="365F91" w:themeColor="accent1" w:themeShade="BF"/>
          <w:sz w:val="36"/>
          <w:szCs w:val="36"/>
        </w:rPr>
      </w:pPr>
      <w:r w:rsidRPr="00141C6E">
        <w:rPr>
          <w:b/>
          <w:bCs/>
          <w:color w:val="365F91" w:themeColor="accent1" w:themeShade="BF"/>
          <w:sz w:val="36"/>
          <w:szCs w:val="36"/>
        </w:rPr>
        <w:t>COMMENTS ON THE COMPOSITION OF THE WHO GUIDELINE DEVELOPMENT GROUP ON “ULTRA-PROCESSED FOODS”</w:t>
      </w:r>
    </w:p>
    <w:p w14:paraId="3CB2D088" w14:textId="2F4B332E" w:rsidR="00D670FA" w:rsidRPr="00D670FA" w:rsidRDefault="00141C6E" w:rsidP="00D670FA">
      <w:pPr>
        <w:jc w:val="center"/>
        <w:rPr>
          <w:i/>
          <w:iCs/>
          <w:color w:val="365F91" w:themeColor="accent1" w:themeShade="BF"/>
          <w:sz w:val="28"/>
          <w:szCs w:val="28"/>
        </w:rPr>
      </w:pPr>
      <w:r>
        <w:rPr>
          <w:i/>
          <w:iCs/>
          <w:color w:val="365F91" w:themeColor="accent1" w:themeShade="BF"/>
          <w:sz w:val="28"/>
          <w:szCs w:val="28"/>
        </w:rPr>
        <w:t>Options</w:t>
      </w:r>
    </w:p>
    <w:p w14:paraId="6B137ACB" w14:textId="6264C373" w:rsidR="000A3945" w:rsidRPr="00BA248F" w:rsidRDefault="00141C6E" w:rsidP="00BA248F">
      <w:pPr>
        <w:pStyle w:val="Heading1"/>
      </w:pPr>
      <w:r w:rsidRPr="00141C6E">
        <w:t>Option 1: Full Letter (ready to submit)</w:t>
      </w:r>
    </w:p>
    <w:p w14:paraId="0A84EFCB" w14:textId="77777777" w:rsidR="00141C6E" w:rsidRPr="00141C6E" w:rsidRDefault="00141C6E" w:rsidP="00141C6E">
      <w:pPr>
        <w:rPr>
          <w:b/>
          <w:bCs/>
        </w:rPr>
      </w:pPr>
      <w:r w:rsidRPr="00141C6E">
        <w:rPr>
          <w:b/>
          <w:bCs/>
        </w:rPr>
        <w:t>Subject: Comments on the Composition of the WHO Guideline Development Group on “Ultra-Processed Foods”</w:t>
      </w:r>
    </w:p>
    <w:p w14:paraId="4DE68C85" w14:textId="77777777" w:rsidR="00141C6E" w:rsidRPr="00141C6E" w:rsidRDefault="00141C6E" w:rsidP="00141C6E">
      <w:r w:rsidRPr="00141C6E">
        <w:t>Dear Members of the WHO Selection Committee,</w:t>
      </w:r>
    </w:p>
    <w:p w14:paraId="18DEEEC8" w14:textId="77777777" w:rsidR="00141C6E" w:rsidRPr="00141C6E" w:rsidRDefault="00141C6E" w:rsidP="00141C6E">
      <w:r w:rsidRPr="00141C6E">
        <w:t>We appreciate the opportunity to provide comments on the provisional composition of the Guideline Development Group (GDG) tasked with developing dietary guidance on what has been referred to as “Ultra-Processed Foods” (UPF).</w:t>
      </w:r>
    </w:p>
    <w:p w14:paraId="2EDBF23B" w14:textId="5DB601E7" w:rsidR="00141C6E" w:rsidRPr="00141C6E" w:rsidRDefault="00141C6E" w:rsidP="00141C6E">
      <w:r w:rsidRPr="00141C6E">
        <w:t>We respectfully wish to raise several concerns regarding the balance of expertise</w:t>
      </w:r>
      <w:r w:rsidR="00324B44">
        <w:t xml:space="preserve"> and science</w:t>
      </w:r>
      <w:r w:rsidRPr="00141C6E">
        <w:t>, the representation of scientific disciplines, and the sequencing of work underpinning this process.</w:t>
      </w:r>
    </w:p>
    <w:p w14:paraId="037152E9" w14:textId="51C883E0" w:rsidR="00141C6E" w:rsidRPr="00BA248F" w:rsidRDefault="00141C6E" w:rsidP="00C126C1">
      <w:pPr>
        <w:pStyle w:val="ListParagraph"/>
        <w:numPr>
          <w:ilvl w:val="0"/>
          <w:numId w:val="11"/>
        </w:numPr>
        <w:rPr>
          <w:b/>
          <w:bCs/>
        </w:rPr>
      </w:pPr>
      <w:r w:rsidRPr="00BA248F">
        <w:rPr>
          <w:b/>
          <w:bCs/>
        </w:rPr>
        <w:t>Absence of a Clear and Globally Accepted Definition</w:t>
      </w:r>
    </w:p>
    <w:p w14:paraId="39640790" w14:textId="1108D6A4" w:rsidR="00141C6E" w:rsidRPr="00141C6E" w:rsidRDefault="00141C6E" w:rsidP="00141C6E">
      <w:r w:rsidRPr="00141C6E">
        <w:t xml:space="preserve">The GDG has been convened before a clear, </w:t>
      </w:r>
      <w:r w:rsidR="00324B44">
        <w:t xml:space="preserve">broadly </w:t>
      </w:r>
      <w:r w:rsidRPr="00141C6E">
        <w:t>agreed-upon, scientifically validated definition of what is being termed as “ultra-processed foods” has been established. Proceeding to develop dietary guidance in the absence of a scientifically acceptable food classification system, risks embedding ambiguity into global recommendations and may undermine the robustness and clarity of any future guidance.</w:t>
      </w:r>
    </w:p>
    <w:p w14:paraId="02061CA6" w14:textId="6B7341B9" w:rsidR="00141C6E" w:rsidRPr="00BA248F" w:rsidRDefault="00141C6E" w:rsidP="00C126C1">
      <w:pPr>
        <w:pStyle w:val="ListParagraph"/>
        <w:numPr>
          <w:ilvl w:val="0"/>
          <w:numId w:val="11"/>
        </w:numPr>
        <w:rPr>
          <w:b/>
          <w:bCs/>
        </w:rPr>
      </w:pPr>
      <w:r w:rsidRPr="00BA248F">
        <w:rPr>
          <w:b/>
          <w:bCs/>
        </w:rPr>
        <w:t>Lack of Representation from Food Science and Food Technology Disciplines</w:t>
      </w:r>
    </w:p>
    <w:p w14:paraId="3A987EE5" w14:textId="5D304A8D" w:rsidR="00141C6E" w:rsidRPr="00141C6E" w:rsidRDefault="00141C6E" w:rsidP="00141C6E">
      <w:r w:rsidRPr="00141C6E">
        <w:t>We note with concern that no member of the provisional GDG holds an active professional qualification in food science or food technology—disciplines central to understanding processing operations, food matrix modifications, ingredient functionality, nutrient stability, and the technological transformations that occur in modern food systems.</w:t>
      </w:r>
      <w:r w:rsidR="00E052B0">
        <w:t xml:space="preserve">  In addition, none of the provisional GDG has extensive experience in food toxicology, clinical nutrition, and practical applied food and nutrition among impoverished populations, especially in pediatrics, maternal health and geriatrics.</w:t>
      </w:r>
    </w:p>
    <w:p w14:paraId="050CF0C7" w14:textId="77777777" w:rsidR="00141C6E" w:rsidRPr="00141C6E" w:rsidRDefault="00141C6E" w:rsidP="00141C6E">
      <w:r w:rsidRPr="00141C6E">
        <w:lastRenderedPageBreak/>
        <w:t>Numerous highly qualified food scientists and technologists applied to participate, yet none appear in the GDG composition. This omission significantly limits the panel’s ability to fully assess processing-related science, and risks compromising the technical applicability and global relevance of the resulting guidelines.</w:t>
      </w:r>
    </w:p>
    <w:p w14:paraId="6E701830" w14:textId="51FC0816" w:rsidR="00141C6E" w:rsidRPr="00BA248F" w:rsidRDefault="00141C6E" w:rsidP="00C126C1">
      <w:pPr>
        <w:pStyle w:val="ListParagraph"/>
        <w:numPr>
          <w:ilvl w:val="0"/>
          <w:numId w:val="11"/>
        </w:numPr>
        <w:rPr>
          <w:b/>
          <w:bCs/>
        </w:rPr>
      </w:pPr>
      <w:r w:rsidRPr="00BA248F">
        <w:rPr>
          <w:b/>
          <w:bCs/>
        </w:rPr>
        <w:t>Intellectual Conflicts of Interest and Lack of Perspective Diversity</w:t>
      </w:r>
    </w:p>
    <w:p w14:paraId="111EB063" w14:textId="77777777" w:rsidR="00141C6E" w:rsidRPr="00141C6E" w:rsidRDefault="00141C6E" w:rsidP="00141C6E">
      <w:r w:rsidRPr="00141C6E">
        <w:t>We acknowledge the expertise of the proposed experts. However, many GDG members have been public advocates of the NOVA classification system and the UPF concept, having endorsed public statements or scientific positions asserting predetermined conclusions about UPFs.</w:t>
      </w:r>
    </w:p>
    <w:p w14:paraId="4FC5BA71" w14:textId="1B1F1EAF" w:rsidR="00141C6E" w:rsidRPr="00141C6E" w:rsidRDefault="00141C6E" w:rsidP="00141C6E">
      <w:r w:rsidRPr="00141C6E">
        <w:t xml:space="preserve">WHO’s own expert selection principles call for “representation of different trends of thought, approaches and practical experience”. When a significant portion of the panel already subscribes to the same classification framework—indeed one still under scrutiny—this raises reasonable concerns about intellectual conflict of interest and the </w:t>
      </w:r>
      <w:r w:rsidR="00E50905">
        <w:t>un</w:t>
      </w:r>
      <w:r w:rsidRPr="00141C6E">
        <w:t xml:space="preserve">likelihood of </w:t>
      </w:r>
      <w:proofErr w:type="spellStart"/>
      <w:r w:rsidRPr="00141C6E">
        <w:t>n</w:t>
      </w:r>
      <w:proofErr w:type="spellEnd"/>
      <w:r w:rsidRPr="00141C6E">
        <w:t xml:space="preserve"> open, balanced, and objective evaluation of the evidence.</w:t>
      </w:r>
    </w:p>
    <w:p w14:paraId="1A53CED9" w14:textId="13E8CF88" w:rsidR="00141C6E" w:rsidRPr="00141C6E" w:rsidRDefault="00141C6E" w:rsidP="00141C6E">
      <w:r w:rsidRPr="00141C6E">
        <w:t xml:space="preserve">This concern is amplified by the inclusion of individuals who developed or actively </w:t>
      </w:r>
      <w:r w:rsidR="00E50905" w:rsidRPr="00141C6E">
        <w:t>promoted</w:t>
      </w:r>
      <w:r w:rsidRPr="00141C6E">
        <w:t xml:space="preserve"> the NOVA system while declaring no relevant interests. This situation, even if unintentional, compromises the perception of neutrality expected of a WHO guideline panel.</w:t>
      </w:r>
    </w:p>
    <w:p w14:paraId="73786564" w14:textId="70C880C3" w:rsidR="00141C6E" w:rsidRPr="00BA248F" w:rsidRDefault="00141C6E" w:rsidP="00C126C1">
      <w:pPr>
        <w:pStyle w:val="ListParagraph"/>
        <w:numPr>
          <w:ilvl w:val="0"/>
          <w:numId w:val="11"/>
        </w:numPr>
        <w:rPr>
          <w:b/>
          <w:bCs/>
        </w:rPr>
      </w:pPr>
      <w:r w:rsidRPr="00BA248F">
        <w:rPr>
          <w:b/>
          <w:bCs/>
        </w:rPr>
        <w:t>Risks of Confounding Food Processing with Formulation</w:t>
      </w:r>
    </w:p>
    <w:p w14:paraId="2EFDAC3A" w14:textId="656E5179" w:rsidR="00141C6E" w:rsidRDefault="00141C6E" w:rsidP="00141C6E">
      <w:r w:rsidRPr="00141C6E">
        <w:t xml:space="preserve">Several classification systems—including the one the majority of GDG members endorse—conflate processing </w:t>
      </w:r>
      <w:r w:rsidR="00324B44">
        <w:t xml:space="preserve">operations </w:t>
      </w:r>
      <w:r w:rsidRPr="00141C6E">
        <w:t>with formulation characteristics, leading to systematic misclassification of:</w:t>
      </w:r>
    </w:p>
    <w:p w14:paraId="60C1D285" w14:textId="77777777" w:rsidR="00141C6E" w:rsidRDefault="00141C6E" w:rsidP="0029677C">
      <w:pPr>
        <w:pStyle w:val="ListParagraph"/>
        <w:numPr>
          <w:ilvl w:val="0"/>
          <w:numId w:val="13"/>
        </w:numPr>
      </w:pPr>
      <w:r>
        <w:t>F</w:t>
      </w:r>
      <w:r w:rsidRPr="00141C6E">
        <w:t>oods nutritionally fortified with essential micronutrients,</w:t>
      </w:r>
    </w:p>
    <w:p w14:paraId="070E7B54" w14:textId="77777777" w:rsidR="00141C6E" w:rsidRDefault="00141C6E" w:rsidP="0029677C">
      <w:pPr>
        <w:pStyle w:val="ListParagraph"/>
        <w:numPr>
          <w:ilvl w:val="0"/>
          <w:numId w:val="13"/>
        </w:numPr>
      </w:pPr>
      <w:r>
        <w:t>Shelf</w:t>
      </w:r>
      <w:r w:rsidRPr="00141C6E">
        <w:t>-stable foods needed in remote or resource-limited locations, and</w:t>
      </w:r>
    </w:p>
    <w:p w14:paraId="7170F3FA" w14:textId="36B8FF2D" w:rsidR="00141C6E" w:rsidRDefault="00141C6E" w:rsidP="0029677C">
      <w:pPr>
        <w:pStyle w:val="ListParagraph"/>
        <w:numPr>
          <w:ilvl w:val="0"/>
          <w:numId w:val="13"/>
        </w:numPr>
      </w:pPr>
      <w:r>
        <w:t>S</w:t>
      </w:r>
      <w:r w:rsidRPr="00141C6E">
        <w:t>pecialized products used in nutrition assistance, humanitarian relief, and treatment of malnutrition.</w:t>
      </w:r>
    </w:p>
    <w:p w14:paraId="31AECA0F" w14:textId="3060C9C2" w:rsidR="0029677C" w:rsidRPr="00141C6E" w:rsidRDefault="0029677C" w:rsidP="0029677C">
      <w:pPr>
        <w:pStyle w:val="ListParagraph"/>
        <w:numPr>
          <w:ilvl w:val="0"/>
          <w:numId w:val="13"/>
        </w:numPr>
      </w:pPr>
      <w:r>
        <w:t>Extruded, plant protein-based foods of substantially elevated sustainability characteristics</w:t>
      </w:r>
    </w:p>
    <w:p w14:paraId="64365C5F" w14:textId="602A9BBD" w:rsidR="00141C6E" w:rsidRDefault="00141C6E" w:rsidP="00141C6E">
      <w:r w:rsidRPr="00141C6E">
        <w:t>A guidance framework that inadvertently “vilifies” these foods could have unintended and harmful consequences</w:t>
      </w:r>
      <w:r w:rsidR="00DE6325">
        <w:t xml:space="preserve"> in public health</w:t>
      </w:r>
      <w:r w:rsidRPr="00141C6E">
        <w:t xml:space="preserve">. As the foundation of food aid programs and emergency nutrition interventions, such </w:t>
      </w:r>
      <w:r w:rsidR="00E614BC">
        <w:t xml:space="preserve">processed </w:t>
      </w:r>
      <w:r w:rsidRPr="00141C6E">
        <w:t>foods support over one billion people in low- and middle-income countries. Undermining their legitimacy or acceptability would directly oppose global efforts to reduce hunger, micronutrient deficiencies, and child wasting—thereby impeding progress toward the Sustainable Development Goals (SDGs).</w:t>
      </w:r>
      <w:r w:rsidR="0029677C">
        <w:t xml:space="preserve"> </w:t>
      </w:r>
      <w:r w:rsidR="0029677C">
        <w:t>Food product category d)</w:t>
      </w:r>
      <w:r w:rsidR="0029677C" w:rsidRPr="007C3D07">
        <w:t xml:space="preserve"> concerns a significant portion of new developments </w:t>
      </w:r>
      <w:r w:rsidR="0029677C">
        <w:t xml:space="preserve">within the past decade </w:t>
      </w:r>
      <w:r w:rsidR="0029677C" w:rsidRPr="007C3D07">
        <w:t>for plant-based alternatives to animal products, especially meat analogues, which have the greatest impact on the potential for improving sustainability</w:t>
      </w:r>
      <w:r w:rsidR="0029677C">
        <w:t xml:space="preserve"> on a global scale</w:t>
      </w:r>
      <w:r w:rsidR="0029677C" w:rsidRPr="007C3D07">
        <w:t>.</w:t>
      </w:r>
    </w:p>
    <w:p w14:paraId="7A1A5B12" w14:textId="77777777" w:rsidR="00BA248F" w:rsidRDefault="00BA248F" w:rsidP="00BA248F">
      <w:pPr>
        <w:pBdr>
          <w:top w:val="single" w:sz="4" w:space="1" w:color="auto"/>
        </w:pBdr>
      </w:pPr>
    </w:p>
    <w:p w14:paraId="06AE31B2" w14:textId="1273A8AB" w:rsidR="00141C6E" w:rsidRPr="00141C6E" w:rsidRDefault="00141C6E" w:rsidP="00BA248F">
      <w:pPr>
        <w:pBdr>
          <w:top w:val="single" w:sz="4" w:space="1" w:color="auto"/>
        </w:pBdr>
      </w:pPr>
      <w:r w:rsidRPr="00141C6E">
        <w:t>In light of the concerns outlined above, we respectfully request that WHO:</w:t>
      </w:r>
    </w:p>
    <w:p w14:paraId="351B6AC2" w14:textId="77777777" w:rsidR="00BA248F" w:rsidRDefault="00141C6E" w:rsidP="00C126C1">
      <w:pPr>
        <w:pStyle w:val="ListParagraph"/>
        <w:numPr>
          <w:ilvl w:val="0"/>
          <w:numId w:val="10"/>
        </w:numPr>
      </w:pPr>
      <w:r w:rsidRPr="00141C6E">
        <w:t>Review and rebalance the composition of the GDG to include qualified experts in food science and technology, and</w:t>
      </w:r>
    </w:p>
    <w:p w14:paraId="518D7199" w14:textId="54386A38" w:rsidR="00BA248F" w:rsidRDefault="00141C6E" w:rsidP="00C126C1">
      <w:pPr>
        <w:pStyle w:val="ListParagraph"/>
        <w:numPr>
          <w:ilvl w:val="0"/>
          <w:numId w:val="10"/>
        </w:numPr>
      </w:pPr>
      <w:r w:rsidRPr="00141C6E">
        <w:t xml:space="preserve">Ensure a diversity of scientific </w:t>
      </w:r>
      <w:r w:rsidR="00E614BC">
        <w:t xml:space="preserve">and medical </w:t>
      </w:r>
      <w:r w:rsidRPr="00141C6E">
        <w:t xml:space="preserve">perspectives, reducing over-representation of individuals already </w:t>
      </w:r>
      <w:r w:rsidR="000C30B0">
        <w:t>subscribed to and/or advocated for</w:t>
      </w:r>
      <w:r w:rsidRPr="00141C6E">
        <w:t xml:space="preserve"> the NOVA-UPF narrative, and</w:t>
      </w:r>
    </w:p>
    <w:p w14:paraId="1A21AF74" w14:textId="45AD9B66" w:rsidR="00141C6E" w:rsidRPr="00141C6E" w:rsidRDefault="00141C6E" w:rsidP="00C126C1">
      <w:pPr>
        <w:pStyle w:val="ListParagraph"/>
        <w:numPr>
          <w:ilvl w:val="0"/>
          <w:numId w:val="10"/>
        </w:numPr>
      </w:pPr>
      <w:r w:rsidRPr="00141C6E">
        <w:t>Sequence the work such that definitions are clarified before guidance is drafted.</w:t>
      </w:r>
      <w:r w:rsidR="00DE6325">
        <w:t xml:space="preserve"> </w:t>
      </w:r>
    </w:p>
    <w:p w14:paraId="16279A57" w14:textId="77777777" w:rsidR="00141C6E" w:rsidRPr="00141C6E" w:rsidRDefault="00141C6E" w:rsidP="00141C6E">
      <w:r w:rsidRPr="00141C6E">
        <w:lastRenderedPageBreak/>
        <w:t>We remain available to support WHO in ensuring that the development of dietary guidance proceeds on a foundation that is scientifically rigorous, globally applicable, and aligned with public health objectives.</w:t>
      </w:r>
    </w:p>
    <w:p w14:paraId="7204ECFB" w14:textId="254AB480" w:rsidR="00141C6E" w:rsidRPr="00141C6E" w:rsidRDefault="00141C6E" w:rsidP="00141C6E">
      <w:r w:rsidRPr="00141C6E">
        <w:t>Respectfully,</w:t>
      </w:r>
    </w:p>
    <w:p w14:paraId="78B82803" w14:textId="77777777" w:rsidR="00BA248F" w:rsidRDefault="00BA248F" w:rsidP="00BA248F"/>
    <w:p w14:paraId="7A82EEED" w14:textId="3540242A" w:rsidR="00141C6E" w:rsidRPr="00141C6E" w:rsidRDefault="00BA248F" w:rsidP="00BA248F">
      <w:r>
        <w:t>N</w:t>
      </w:r>
      <w:r w:rsidR="00141C6E" w:rsidRPr="00141C6E">
        <w:t>ame</w:t>
      </w:r>
    </w:p>
    <w:p w14:paraId="76A1E210" w14:textId="4BE3E33D" w:rsidR="00946EAA" w:rsidRDefault="00141C6E" w:rsidP="00141C6E">
      <w:r w:rsidRPr="00141C6E">
        <w:t>Affiliation</w:t>
      </w:r>
    </w:p>
    <w:p w14:paraId="441063AF" w14:textId="0ED70F67" w:rsidR="00BA248F" w:rsidRPr="00BA248F" w:rsidRDefault="00BA248F" w:rsidP="00BA248F">
      <w:pPr>
        <w:pStyle w:val="Heading1"/>
      </w:pPr>
      <w:r w:rsidRPr="00BA248F">
        <w:t>Option 2 — Individual Paragraphs For Members To Use Separately</w:t>
      </w:r>
    </w:p>
    <w:p w14:paraId="69D05735" w14:textId="3EE763A4" w:rsidR="00BA248F" w:rsidRPr="00BA248F" w:rsidRDefault="00BA248F" w:rsidP="00BA248F">
      <w:r w:rsidRPr="00BA248F">
        <w:t>Below are modular paragraphs that members may use independently or combine as desired</w:t>
      </w:r>
      <w:r>
        <w:t>:</w:t>
      </w:r>
    </w:p>
    <w:p w14:paraId="321C8672" w14:textId="41D3C574" w:rsidR="00BA248F" w:rsidRPr="00BA248F" w:rsidRDefault="00BA248F" w:rsidP="00C126C1">
      <w:pPr>
        <w:pStyle w:val="ListParagraph"/>
        <w:numPr>
          <w:ilvl w:val="0"/>
          <w:numId w:val="12"/>
        </w:numPr>
        <w:rPr>
          <w:b/>
          <w:bCs/>
        </w:rPr>
      </w:pPr>
      <w:r w:rsidRPr="00BA248F">
        <w:rPr>
          <w:b/>
          <w:bCs/>
        </w:rPr>
        <w:t>Absence of Definition</w:t>
      </w:r>
    </w:p>
    <w:p w14:paraId="34FD8746" w14:textId="134FC954" w:rsidR="00BA248F" w:rsidRPr="00BA248F" w:rsidRDefault="00BA248F" w:rsidP="00BA248F">
      <w:r w:rsidRPr="00BA248F">
        <w:t xml:space="preserve">“There is currently no internationally agreed scientific definition of what constitutes an ‘ultra-processed food’. Developing dietary guidance without a clear </w:t>
      </w:r>
      <w:r w:rsidR="000C30B0">
        <w:t>definition</w:t>
      </w:r>
      <w:r w:rsidR="000C30B0" w:rsidRPr="00BA248F">
        <w:t xml:space="preserve"> </w:t>
      </w:r>
      <w:r w:rsidRPr="00BA248F">
        <w:t>on food classification schemes, that are enshrined in science, risks embedding ambiguity into global recommendations and may undermine their credibility and applicability.”</w:t>
      </w:r>
    </w:p>
    <w:p w14:paraId="6FACF7B6" w14:textId="259A9470" w:rsidR="00BA248F" w:rsidRPr="00BA248F" w:rsidRDefault="00BA248F" w:rsidP="00C126C1">
      <w:pPr>
        <w:pStyle w:val="ListParagraph"/>
        <w:numPr>
          <w:ilvl w:val="0"/>
          <w:numId w:val="12"/>
        </w:numPr>
        <w:rPr>
          <w:b/>
          <w:bCs/>
        </w:rPr>
      </w:pPr>
      <w:r w:rsidRPr="00BA248F">
        <w:rPr>
          <w:b/>
          <w:bCs/>
        </w:rPr>
        <w:t>Missing Expertise From Food Science and Technology</w:t>
      </w:r>
    </w:p>
    <w:p w14:paraId="135E9A11" w14:textId="25E495B5" w:rsidR="00BA248F" w:rsidRPr="00BA248F" w:rsidRDefault="00BA248F" w:rsidP="00BA248F">
      <w:r w:rsidRPr="00BA248F">
        <w:t>“It is concerning that the GDG includes no experts with professional qualifications in food science or food technology—fields essential for understanding processing</w:t>
      </w:r>
      <w:r w:rsidR="000C30B0">
        <w:t xml:space="preserve"> technologies</w:t>
      </w:r>
      <w:r w:rsidRPr="00BA248F">
        <w:t xml:space="preserve">, food matrix </w:t>
      </w:r>
      <w:r w:rsidR="000C30B0">
        <w:t xml:space="preserve">transformation and </w:t>
      </w:r>
      <w:r w:rsidRPr="00BA248F">
        <w:t>behavior, nutrient stability</w:t>
      </w:r>
      <w:r w:rsidR="0029677C">
        <w:t xml:space="preserve"> and their </w:t>
      </w:r>
      <w:proofErr w:type="spellStart"/>
      <w:r w:rsidR="0029677C">
        <w:t>bioaccessibility</w:t>
      </w:r>
      <w:proofErr w:type="spellEnd"/>
      <w:r w:rsidR="0029677C">
        <w:t>/bioavailability</w:t>
      </w:r>
      <w:r w:rsidRPr="00BA248F">
        <w:t xml:space="preserve">, food safety, and technological innovation. </w:t>
      </w:r>
      <w:r w:rsidR="000C30B0" w:rsidRPr="00BA248F">
        <w:t xml:space="preserve"> </w:t>
      </w:r>
      <w:r w:rsidR="000C30B0">
        <w:t xml:space="preserve">Some </w:t>
      </w:r>
      <w:r w:rsidRPr="00BA248F">
        <w:t xml:space="preserve">qualified experts in these areas applied but </w:t>
      </w:r>
      <w:r w:rsidR="00E614BC">
        <w:t>none was</w:t>
      </w:r>
      <w:r w:rsidRPr="00BA248F">
        <w:t xml:space="preserve"> selected.”</w:t>
      </w:r>
    </w:p>
    <w:p w14:paraId="0DA2F63E" w14:textId="6F1D3E0D" w:rsidR="00BA248F" w:rsidRPr="00BA248F" w:rsidRDefault="00BA248F" w:rsidP="00C126C1">
      <w:pPr>
        <w:pStyle w:val="ListParagraph"/>
        <w:numPr>
          <w:ilvl w:val="0"/>
          <w:numId w:val="12"/>
        </w:numPr>
        <w:rPr>
          <w:b/>
          <w:bCs/>
        </w:rPr>
      </w:pPr>
      <w:r w:rsidRPr="00BA248F">
        <w:rPr>
          <w:b/>
          <w:bCs/>
        </w:rPr>
        <w:t>Intellectual Conflicts of Interest</w:t>
      </w:r>
    </w:p>
    <w:p w14:paraId="28378C78" w14:textId="2A80A803" w:rsidR="00BA248F" w:rsidRPr="00BA248F" w:rsidRDefault="00BA248F" w:rsidP="00BA248F">
      <w:r w:rsidRPr="00BA248F">
        <w:t xml:space="preserve">“A substantial number of GDG members are public proponents of the NOVA-UPF framework, having endorsed letters or publications supporting predetermined views on the topic. </w:t>
      </w:r>
      <w:r w:rsidR="0029677C" w:rsidRPr="00672913">
        <w:t xml:space="preserve">This cluster of similar perspectives </w:t>
      </w:r>
      <w:r w:rsidR="0029677C">
        <w:t>raises concerns</w:t>
      </w:r>
      <w:r w:rsidR="0029677C" w:rsidRPr="00672913">
        <w:t xml:space="preserve"> regarding intellectual conflicts of interest in the implementation of one-sidedly based dietary guidelines</w:t>
      </w:r>
      <w:r w:rsidR="0029677C">
        <w:t xml:space="preserve"> </w:t>
      </w:r>
      <w:r w:rsidRPr="00BA248F">
        <w:t>and does not align with WHO’s requirement for panels to represent ‘different trends of thought’.”</w:t>
      </w:r>
    </w:p>
    <w:p w14:paraId="1B380C92" w14:textId="7C4328D9" w:rsidR="00BA248F" w:rsidRPr="00BA248F" w:rsidRDefault="00BA248F" w:rsidP="00C126C1">
      <w:pPr>
        <w:pStyle w:val="ListParagraph"/>
        <w:numPr>
          <w:ilvl w:val="0"/>
          <w:numId w:val="12"/>
        </w:numPr>
        <w:rPr>
          <w:b/>
          <w:bCs/>
        </w:rPr>
      </w:pPr>
      <w:r w:rsidRPr="00BA248F">
        <w:rPr>
          <w:b/>
          <w:bCs/>
        </w:rPr>
        <w:t>Risks to Food Aid, Fortification, and Malnutrition Programs</w:t>
      </w:r>
    </w:p>
    <w:p w14:paraId="42EF2679" w14:textId="77777777" w:rsidR="00BA248F" w:rsidRDefault="00BA248F" w:rsidP="00BA248F">
      <w:r w:rsidRPr="00BA248F">
        <w:t>“Classification systems that conflate processing with formulation risk stigmatizing foods that are fortified, shelf-stable, or designed for humanitarian feeding. These foods form the backbone of programs addressing micronutrient deficiencies and severe acute malnutrition in low- and middle-income countries. Any guidance that disincentivizes their production or use would jeopardize nutrition access for over a billion vulnerable people and undermine progress toward the SDGs.”</w:t>
      </w:r>
    </w:p>
    <w:p w14:paraId="14DCEE8D" w14:textId="77777777" w:rsidR="0029677C" w:rsidRDefault="0029677C" w:rsidP="00BA248F"/>
    <w:p w14:paraId="643613CE" w14:textId="77777777" w:rsidR="0029677C" w:rsidRDefault="0029677C" w:rsidP="0029677C">
      <w:pPr>
        <w:pStyle w:val="ListParagraph"/>
        <w:numPr>
          <w:ilvl w:val="0"/>
          <w:numId w:val="12"/>
        </w:numPr>
        <w:rPr>
          <w:b/>
          <w:bCs/>
        </w:rPr>
      </w:pPr>
      <w:r w:rsidRPr="00BA248F">
        <w:rPr>
          <w:b/>
          <w:bCs/>
        </w:rPr>
        <w:t xml:space="preserve">Risks to </w:t>
      </w:r>
      <w:r>
        <w:rPr>
          <w:b/>
          <w:bCs/>
        </w:rPr>
        <w:t>Sustainability goals by undermining the animal-plant paradigm switch</w:t>
      </w:r>
    </w:p>
    <w:p w14:paraId="09A2BAF4" w14:textId="77777777" w:rsidR="0029677C" w:rsidRPr="007C0748" w:rsidRDefault="0029677C" w:rsidP="0029677C">
      <w:pPr>
        <w:jc w:val="both"/>
      </w:pPr>
      <w:r w:rsidRPr="00F9433C">
        <w:t>Classification systems that ban specific processing methodologies like extrusion processing risk stigmatizing foods forming the base of a paradigm switch to more plant-based food products for the sake of environmental sustainability.</w:t>
      </w:r>
    </w:p>
    <w:p w14:paraId="69F8CECF" w14:textId="77777777" w:rsidR="0029677C" w:rsidRPr="00BA248F" w:rsidRDefault="0029677C" w:rsidP="00BA248F"/>
    <w:p w14:paraId="7971905F" w14:textId="064762EF" w:rsidR="00BA248F" w:rsidRPr="00BA248F" w:rsidRDefault="00BA248F" w:rsidP="00C126C1">
      <w:pPr>
        <w:pStyle w:val="ListParagraph"/>
        <w:numPr>
          <w:ilvl w:val="0"/>
          <w:numId w:val="12"/>
        </w:numPr>
        <w:rPr>
          <w:b/>
          <w:bCs/>
        </w:rPr>
      </w:pPr>
      <w:r w:rsidRPr="00BA248F">
        <w:rPr>
          <w:b/>
          <w:bCs/>
        </w:rPr>
        <w:lastRenderedPageBreak/>
        <w:t>Need for Balanced Perspectives</w:t>
      </w:r>
    </w:p>
    <w:p w14:paraId="03E49DCE" w14:textId="77777777" w:rsidR="00BA248F" w:rsidRPr="00BA248F" w:rsidRDefault="00BA248F" w:rsidP="00BA248F">
      <w:r w:rsidRPr="00BA248F">
        <w:t>“With such a high proportion of the GDG already committed to the NOVA framework, it is difficult to see how the panel can provide a balanced and objective assessment of the evidence. Broader representation is essential to ensure credibility.”</w:t>
      </w:r>
    </w:p>
    <w:p w14:paraId="25EF4321" w14:textId="1461F5AF" w:rsidR="00BA248F" w:rsidRPr="00BA248F" w:rsidRDefault="00BA248F" w:rsidP="00C126C1">
      <w:pPr>
        <w:pStyle w:val="ListParagraph"/>
        <w:numPr>
          <w:ilvl w:val="0"/>
          <w:numId w:val="12"/>
        </w:numPr>
        <w:rPr>
          <w:b/>
          <w:bCs/>
        </w:rPr>
      </w:pPr>
      <w:r w:rsidRPr="00BA248F">
        <w:rPr>
          <w:b/>
          <w:bCs/>
        </w:rPr>
        <w:t>Request for Reconsideration</w:t>
      </w:r>
    </w:p>
    <w:p w14:paraId="00918796" w14:textId="66EF084D" w:rsidR="00BA248F" w:rsidRPr="00BA248F" w:rsidRDefault="00BA248F" w:rsidP="00BA248F">
      <w:r w:rsidRPr="00BA248F">
        <w:t>“We respectfully request that WHO reconsider the composition of the GDG to ensure the inclusion of food science and technology experts, and to guarantee the balanced representation of differing scientific viewpoints, in line with WHO’s own expert selection principles.”</w:t>
      </w:r>
    </w:p>
    <w:sectPr w:rsidR="00BA248F" w:rsidRPr="00BA248F" w:rsidSect="00D346D3">
      <w:headerReference w:type="default" r:id="rId10"/>
      <w:footerReference w:type="default" r:id="rId11"/>
      <w:footerReference w:type="first" r:id="rId12"/>
      <w:pgSz w:w="12240" w:h="15840"/>
      <w:pgMar w:top="1296" w:right="720" w:bottom="1296"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BF09" w14:textId="77777777" w:rsidR="00B36891" w:rsidRDefault="00B36891" w:rsidP="00CC3F2F">
      <w:r>
        <w:separator/>
      </w:r>
    </w:p>
  </w:endnote>
  <w:endnote w:type="continuationSeparator" w:id="0">
    <w:p w14:paraId="7D77B091" w14:textId="77777777" w:rsidR="00B36891" w:rsidRDefault="00B36891" w:rsidP="00CC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1570" w14:textId="649184CA" w:rsidR="00D346D3" w:rsidRPr="00A63476" w:rsidRDefault="00D346D3" w:rsidP="00A63476">
    <w:pPr>
      <w:pStyle w:val="Footer"/>
      <w:pBdr>
        <w:top w:val="single" w:sz="4" w:space="1" w:color="auto"/>
      </w:pBdr>
      <w:jc w:val="center"/>
      <w:rPr>
        <w:sz w:val="20"/>
        <w:szCs w:val="20"/>
      </w:rPr>
    </w:pPr>
    <w:r w:rsidRPr="00A63476">
      <w:rPr>
        <w:sz w:val="20"/>
        <w:szCs w:val="20"/>
      </w:rPr>
      <w:fldChar w:fldCharType="begin"/>
    </w:r>
    <w:r w:rsidRPr="00A63476">
      <w:rPr>
        <w:sz w:val="20"/>
        <w:szCs w:val="20"/>
      </w:rPr>
      <w:instrText xml:space="preserve"> PAGE </w:instrText>
    </w:r>
    <w:r w:rsidRPr="00A63476">
      <w:rPr>
        <w:sz w:val="20"/>
        <w:szCs w:val="20"/>
      </w:rPr>
      <w:fldChar w:fldCharType="separate"/>
    </w:r>
    <w:r w:rsidRPr="00A63476">
      <w:rPr>
        <w:sz w:val="20"/>
        <w:szCs w:val="20"/>
      </w:rPr>
      <w:t>2</w:t>
    </w:r>
    <w:r w:rsidRPr="00A63476">
      <w:rPr>
        <w:sz w:val="20"/>
        <w:szCs w:val="20"/>
      </w:rPr>
      <w:fldChar w:fldCharType="end"/>
    </w:r>
    <w:r w:rsidRPr="00A63476">
      <w:rPr>
        <w:sz w:val="20"/>
        <w:szCs w:val="20"/>
      </w:rPr>
      <w:t>/</w:t>
    </w:r>
    <w:r w:rsidRPr="00A63476">
      <w:rPr>
        <w:sz w:val="20"/>
        <w:szCs w:val="20"/>
      </w:rPr>
      <w:fldChar w:fldCharType="begin"/>
    </w:r>
    <w:r w:rsidRPr="00A63476">
      <w:rPr>
        <w:sz w:val="20"/>
        <w:szCs w:val="20"/>
      </w:rPr>
      <w:instrText xml:space="preserve"> NUMPAGES  </w:instrText>
    </w:r>
    <w:r w:rsidRPr="00A63476">
      <w:rPr>
        <w:sz w:val="20"/>
        <w:szCs w:val="20"/>
      </w:rPr>
      <w:fldChar w:fldCharType="separate"/>
    </w:r>
    <w:r w:rsidRPr="00A63476">
      <w:rPr>
        <w:sz w:val="20"/>
        <w:szCs w:val="20"/>
      </w:rPr>
      <w:t>8</w:t>
    </w:r>
    <w:r w:rsidRPr="00A63476">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200C" w14:textId="16B99BCD" w:rsidR="00D346D3" w:rsidRPr="00A63476" w:rsidRDefault="00D346D3" w:rsidP="00A63476">
    <w:pPr>
      <w:pStyle w:val="Footer"/>
      <w:pBdr>
        <w:top w:val="single" w:sz="4" w:space="1" w:color="auto"/>
      </w:pBdr>
      <w:jc w:val="center"/>
      <w:rPr>
        <w:i/>
        <w:iCs/>
        <w:sz w:val="20"/>
        <w:szCs w:val="20"/>
      </w:rPr>
    </w:pPr>
    <w:r w:rsidRPr="00A63476">
      <w:rPr>
        <w:i/>
        <w:iCs/>
        <w:sz w:val="20"/>
        <w:szCs w:val="20"/>
      </w:rPr>
      <w:t>Updated</w:t>
    </w:r>
    <w:r w:rsidR="00946EAA">
      <w:rPr>
        <w:i/>
        <w:iCs/>
        <w:sz w:val="20"/>
        <w:szCs w:val="20"/>
      </w:rPr>
      <w:t xml:space="preserve"> </w:t>
    </w:r>
    <w:r w:rsidR="00141C6E">
      <w:rPr>
        <w:i/>
        <w:iCs/>
        <w:sz w:val="20"/>
        <w:szCs w:val="20"/>
      </w:rPr>
      <w:t>25</w:t>
    </w:r>
    <w:r w:rsidRPr="00A63476">
      <w:rPr>
        <w:i/>
        <w:iCs/>
        <w:sz w:val="20"/>
        <w:szCs w:val="20"/>
      </w:rPr>
      <w:t xml:space="preserve"> </w:t>
    </w:r>
    <w:r w:rsidR="00141C6E">
      <w:rPr>
        <w:i/>
        <w:iCs/>
        <w:sz w:val="20"/>
        <w:szCs w:val="20"/>
      </w:rPr>
      <w:t>November</w:t>
    </w:r>
    <w:r w:rsidRPr="00A63476">
      <w:rPr>
        <w:i/>
        <w:iCs/>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6137" w14:textId="77777777" w:rsidR="00B36891" w:rsidRDefault="00B36891" w:rsidP="00CC3F2F">
      <w:r>
        <w:separator/>
      </w:r>
    </w:p>
  </w:footnote>
  <w:footnote w:type="continuationSeparator" w:id="0">
    <w:p w14:paraId="16C7B0F0" w14:textId="77777777" w:rsidR="00B36891" w:rsidRDefault="00B36891" w:rsidP="00CC3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2192" w14:textId="1AA89529" w:rsidR="00D346D3" w:rsidRPr="00946EAA" w:rsidRDefault="00141C6E" w:rsidP="00946EAA">
    <w:pPr>
      <w:pStyle w:val="Header"/>
      <w:pBdr>
        <w:bottom w:val="single" w:sz="4" w:space="1" w:color="auto"/>
      </w:pBdr>
      <w:jc w:val="center"/>
      <w:rPr>
        <w:sz w:val="20"/>
        <w:szCs w:val="20"/>
        <w:lang w:val="en-CA"/>
      </w:rPr>
    </w:pPr>
    <w:r w:rsidRPr="00141C6E">
      <w:rPr>
        <w:i/>
        <w:iCs/>
        <w:sz w:val="18"/>
        <w:szCs w:val="18"/>
        <w:lang w:val="en-CA"/>
      </w:rPr>
      <w:t>Comments on the Composition of the WHO Guideline Development Group on “Ultra-Processed Foods</w:t>
    </w:r>
    <w:r>
      <w:rPr>
        <w:i/>
        <w:iCs/>
        <w:sz w:val="18"/>
        <w:szCs w:val="18"/>
        <w:lang w:val="en-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4775A4C"/>
    <w:multiLevelType w:val="hybridMultilevel"/>
    <w:tmpl w:val="37BEE4FE"/>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78207CA"/>
    <w:multiLevelType w:val="hybridMultilevel"/>
    <w:tmpl w:val="0126582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634957"/>
    <w:multiLevelType w:val="hybridMultilevel"/>
    <w:tmpl w:val="EA6A6B5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52B2205"/>
    <w:multiLevelType w:val="hybridMultilevel"/>
    <w:tmpl w:val="0458063C"/>
    <w:lvl w:ilvl="0" w:tplc="853CDC74">
      <w:start w:val="1"/>
      <w:numFmt w:val="decimal"/>
      <w:pStyle w:val="Heading3"/>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50493588"/>
    <w:multiLevelType w:val="hybridMultilevel"/>
    <w:tmpl w:val="2F206EC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DD3535"/>
    <w:multiLevelType w:val="multilevel"/>
    <w:tmpl w:val="5B80D0C8"/>
    <w:lvl w:ilvl="0">
      <w:start w:val="1"/>
      <w:numFmt w:val="decimal"/>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4497460"/>
    <w:multiLevelType w:val="hybridMultilevel"/>
    <w:tmpl w:val="18745C0C"/>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339503952">
    <w:abstractNumId w:val="5"/>
  </w:num>
  <w:num w:numId="2" w16cid:durableId="1118917190">
    <w:abstractNumId w:val="3"/>
  </w:num>
  <w:num w:numId="3" w16cid:durableId="1082872960">
    <w:abstractNumId w:val="2"/>
  </w:num>
  <w:num w:numId="4" w16cid:durableId="1778673363">
    <w:abstractNumId w:val="4"/>
  </w:num>
  <w:num w:numId="5" w16cid:durableId="996962163">
    <w:abstractNumId w:val="1"/>
  </w:num>
  <w:num w:numId="6" w16cid:durableId="1100906426">
    <w:abstractNumId w:val="0"/>
  </w:num>
  <w:num w:numId="7" w16cid:durableId="339115697">
    <w:abstractNumId w:val="11"/>
  </w:num>
  <w:num w:numId="8" w16cid:durableId="356473152">
    <w:abstractNumId w:val="9"/>
  </w:num>
  <w:num w:numId="9" w16cid:durableId="1782265086">
    <w:abstractNumId w:val="7"/>
  </w:num>
  <w:num w:numId="10" w16cid:durableId="1976063919">
    <w:abstractNumId w:val="8"/>
  </w:num>
  <w:num w:numId="11" w16cid:durableId="389498529">
    <w:abstractNumId w:val="6"/>
  </w:num>
  <w:num w:numId="12" w16cid:durableId="1581062520">
    <w:abstractNumId w:val="12"/>
  </w:num>
  <w:num w:numId="13" w16cid:durableId="183271508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843"/>
    <w:rsid w:val="0001520B"/>
    <w:rsid w:val="00034616"/>
    <w:rsid w:val="0006063C"/>
    <w:rsid w:val="0007758C"/>
    <w:rsid w:val="000A3945"/>
    <w:rsid w:val="000C30B0"/>
    <w:rsid w:val="000E15D4"/>
    <w:rsid w:val="000E242C"/>
    <w:rsid w:val="00141C6E"/>
    <w:rsid w:val="0015074B"/>
    <w:rsid w:val="001906E8"/>
    <w:rsid w:val="001B16CE"/>
    <w:rsid w:val="001C01E6"/>
    <w:rsid w:val="00211E38"/>
    <w:rsid w:val="002156F8"/>
    <w:rsid w:val="00221245"/>
    <w:rsid w:val="00225707"/>
    <w:rsid w:val="002350AF"/>
    <w:rsid w:val="00276437"/>
    <w:rsid w:val="0029639D"/>
    <w:rsid w:val="0029677C"/>
    <w:rsid w:val="002C64DB"/>
    <w:rsid w:val="00307BDF"/>
    <w:rsid w:val="0031125C"/>
    <w:rsid w:val="00324B44"/>
    <w:rsid w:val="00326F90"/>
    <w:rsid w:val="00336ACD"/>
    <w:rsid w:val="00390422"/>
    <w:rsid w:val="00436BC7"/>
    <w:rsid w:val="004C1396"/>
    <w:rsid w:val="004C40D9"/>
    <w:rsid w:val="004E1B9D"/>
    <w:rsid w:val="004F2662"/>
    <w:rsid w:val="0051077F"/>
    <w:rsid w:val="00596EEB"/>
    <w:rsid w:val="006074B1"/>
    <w:rsid w:val="00637A77"/>
    <w:rsid w:val="00640337"/>
    <w:rsid w:val="00677253"/>
    <w:rsid w:val="006F115E"/>
    <w:rsid w:val="007176F6"/>
    <w:rsid w:val="007666FD"/>
    <w:rsid w:val="007A2AED"/>
    <w:rsid w:val="007D051F"/>
    <w:rsid w:val="00830E54"/>
    <w:rsid w:val="008340B9"/>
    <w:rsid w:val="00851C56"/>
    <w:rsid w:val="0086145C"/>
    <w:rsid w:val="008F6D17"/>
    <w:rsid w:val="00946EAA"/>
    <w:rsid w:val="00970469"/>
    <w:rsid w:val="009E3554"/>
    <w:rsid w:val="00A04332"/>
    <w:rsid w:val="00A63476"/>
    <w:rsid w:val="00AA1D8D"/>
    <w:rsid w:val="00AB7049"/>
    <w:rsid w:val="00AE0BE0"/>
    <w:rsid w:val="00AF69D6"/>
    <w:rsid w:val="00B30C78"/>
    <w:rsid w:val="00B36891"/>
    <w:rsid w:val="00B47730"/>
    <w:rsid w:val="00BA248F"/>
    <w:rsid w:val="00BC5C5C"/>
    <w:rsid w:val="00BD5690"/>
    <w:rsid w:val="00C126C1"/>
    <w:rsid w:val="00C561E5"/>
    <w:rsid w:val="00C71539"/>
    <w:rsid w:val="00C748D3"/>
    <w:rsid w:val="00CB0664"/>
    <w:rsid w:val="00CC3F2F"/>
    <w:rsid w:val="00D168B0"/>
    <w:rsid w:val="00D326C4"/>
    <w:rsid w:val="00D346D3"/>
    <w:rsid w:val="00D51AEC"/>
    <w:rsid w:val="00D670FA"/>
    <w:rsid w:val="00D911B7"/>
    <w:rsid w:val="00DC0CE6"/>
    <w:rsid w:val="00DD16C4"/>
    <w:rsid w:val="00DD196F"/>
    <w:rsid w:val="00DD61AE"/>
    <w:rsid w:val="00DE6325"/>
    <w:rsid w:val="00E052B0"/>
    <w:rsid w:val="00E115C5"/>
    <w:rsid w:val="00E50905"/>
    <w:rsid w:val="00E614BC"/>
    <w:rsid w:val="00E9690F"/>
    <w:rsid w:val="00E96B21"/>
    <w:rsid w:val="00F33338"/>
    <w:rsid w:val="00F5231B"/>
    <w:rsid w:val="00F627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3E3C87"/>
  <w14:defaultImageDpi w14:val="300"/>
  <w15:docId w15:val="{4F64AC53-036A-0440-B908-1B3EBEE4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D3"/>
    <w:pPr>
      <w:autoSpaceDE w:val="0"/>
      <w:autoSpaceDN w:val="0"/>
      <w:adjustRightInd w:val="0"/>
      <w:spacing w:before="120" w:after="120" w:line="300" w:lineRule="auto"/>
    </w:pPr>
    <w:rPr>
      <w:rFonts w:ascii="Calibri" w:hAnsi="Calibri" w:cs="Calibri"/>
      <w:color w:val="000000"/>
    </w:rPr>
  </w:style>
  <w:style w:type="paragraph" w:styleId="Heading1">
    <w:name w:val="heading 1"/>
    <w:basedOn w:val="ListParagraph"/>
    <w:next w:val="Normal"/>
    <w:link w:val="Heading1Char"/>
    <w:uiPriority w:val="9"/>
    <w:qFormat/>
    <w:rsid w:val="00BA248F"/>
    <w:pPr>
      <w:shd w:val="clear" w:color="auto" w:fill="365F91" w:themeFill="accent1" w:themeFillShade="BF"/>
      <w:spacing w:before="240" w:line="240" w:lineRule="auto"/>
      <w:ind w:left="360" w:hanging="360"/>
      <w:contextualSpacing w:val="0"/>
      <w:outlineLvl w:val="0"/>
    </w:pPr>
    <w:rPr>
      <w:b/>
      <w:bCs/>
      <w:color w:val="FFFFFF" w:themeColor="background1"/>
      <w:sz w:val="26"/>
      <w:szCs w:val="26"/>
    </w:rPr>
  </w:style>
  <w:style w:type="paragraph" w:styleId="Heading2">
    <w:name w:val="heading 2"/>
    <w:basedOn w:val="Normal"/>
    <w:next w:val="Normal"/>
    <w:link w:val="Heading2Char"/>
    <w:uiPriority w:val="9"/>
    <w:unhideWhenUsed/>
    <w:qFormat/>
    <w:rsid w:val="00D346D3"/>
    <w:pPr>
      <w:numPr>
        <w:ilvl w:val="1"/>
        <w:numId w:val="7"/>
      </w:numPr>
      <w:spacing w:before="240"/>
      <w:outlineLvl w:val="1"/>
    </w:pPr>
    <w:rPr>
      <w:b/>
      <w:bCs/>
      <w:color w:val="365F91" w:themeColor="accent1" w:themeShade="BF"/>
    </w:rPr>
  </w:style>
  <w:style w:type="paragraph" w:styleId="Heading3">
    <w:name w:val="heading 3"/>
    <w:basedOn w:val="ListParagraph"/>
    <w:next w:val="Normal"/>
    <w:link w:val="Heading3Char"/>
    <w:uiPriority w:val="9"/>
    <w:unhideWhenUsed/>
    <w:qFormat/>
    <w:rsid w:val="00946EAA"/>
    <w:pPr>
      <w:numPr>
        <w:numId w:val="8"/>
      </w:numPr>
      <w:spacing w:before="240"/>
      <w:contextualSpacing w:val="0"/>
      <w:outlineLvl w:val="2"/>
    </w:pPr>
    <w:rPr>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BA248F"/>
    <w:rPr>
      <w:rFonts w:ascii="Calibri" w:hAnsi="Calibri" w:cs="Calibri"/>
      <w:b/>
      <w:bCs/>
      <w:color w:val="FFFFFF" w:themeColor="background1"/>
      <w:sz w:val="26"/>
      <w:szCs w:val="26"/>
      <w:shd w:val="clear" w:color="auto" w:fill="365F91" w:themeFill="accent1" w:themeFillShade="BF"/>
    </w:rPr>
  </w:style>
  <w:style w:type="character" w:customStyle="1" w:styleId="Heading2Char">
    <w:name w:val="Heading 2 Char"/>
    <w:basedOn w:val="DefaultParagraphFont"/>
    <w:link w:val="Heading2"/>
    <w:uiPriority w:val="9"/>
    <w:rsid w:val="00D346D3"/>
    <w:rPr>
      <w:rFonts w:ascii="Calibri" w:hAnsi="Calibri" w:cs="Calibri"/>
      <w:b/>
      <w:bCs/>
      <w:color w:val="365F91" w:themeColor="accent1" w:themeShade="BF"/>
    </w:rPr>
  </w:style>
  <w:style w:type="character" w:customStyle="1" w:styleId="Heading3Char">
    <w:name w:val="Heading 3 Char"/>
    <w:basedOn w:val="DefaultParagraphFont"/>
    <w:link w:val="Heading3"/>
    <w:uiPriority w:val="9"/>
    <w:rsid w:val="00946EAA"/>
    <w:rPr>
      <w:rFonts w:ascii="Calibri" w:hAnsi="Calibri" w:cs="Calibri"/>
      <w:b/>
      <w:bCs/>
      <w:color w:val="000000"/>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96B21"/>
    <w:rPr>
      <w:color w:val="0000FF" w:themeColor="hyperlink"/>
      <w:u w:val="single"/>
    </w:rPr>
  </w:style>
  <w:style w:type="character" w:styleId="UnresolvedMention">
    <w:name w:val="Unresolved Mention"/>
    <w:basedOn w:val="DefaultParagraphFont"/>
    <w:uiPriority w:val="99"/>
    <w:semiHidden/>
    <w:unhideWhenUsed/>
    <w:rsid w:val="00E96B21"/>
    <w:rPr>
      <w:color w:val="605E5C"/>
      <w:shd w:val="clear" w:color="auto" w:fill="E1DFDD"/>
    </w:rPr>
  </w:style>
  <w:style w:type="paragraph" w:styleId="NormalWeb">
    <w:name w:val="Normal (Web)"/>
    <w:basedOn w:val="Normal"/>
    <w:uiPriority w:val="99"/>
    <w:semiHidden/>
    <w:unhideWhenUsed/>
    <w:rsid w:val="000A3945"/>
    <w:pP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lang w:val="en-CA" w:eastAsia="ko-KR"/>
    </w:rPr>
  </w:style>
  <w:style w:type="paragraph" w:styleId="Revision">
    <w:name w:val="Revision"/>
    <w:hidden/>
    <w:uiPriority w:val="99"/>
    <w:semiHidden/>
    <w:rsid w:val="00324B44"/>
    <w:pPr>
      <w:spacing w:after="0" w:line="240" w:lineRule="auto"/>
    </w:pPr>
    <w:rPr>
      <w:rFonts w:ascii="Calibri" w:hAnsi="Calibri" w:cs="Calibri"/>
      <w:color w:val="000000"/>
    </w:rPr>
  </w:style>
  <w:style w:type="character" w:styleId="CommentReference">
    <w:name w:val="annotation reference"/>
    <w:basedOn w:val="DefaultParagraphFont"/>
    <w:uiPriority w:val="99"/>
    <w:semiHidden/>
    <w:unhideWhenUsed/>
    <w:rsid w:val="00324B44"/>
    <w:rPr>
      <w:sz w:val="16"/>
      <w:szCs w:val="16"/>
    </w:rPr>
  </w:style>
  <w:style w:type="paragraph" w:styleId="CommentText">
    <w:name w:val="annotation text"/>
    <w:basedOn w:val="Normal"/>
    <w:link w:val="CommentTextChar"/>
    <w:uiPriority w:val="99"/>
    <w:unhideWhenUsed/>
    <w:rsid w:val="00324B44"/>
    <w:pPr>
      <w:spacing w:line="240" w:lineRule="auto"/>
    </w:pPr>
    <w:rPr>
      <w:sz w:val="20"/>
      <w:szCs w:val="20"/>
    </w:rPr>
  </w:style>
  <w:style w:type="character" w:customStyle="1" w:styleId="CommentTextChar">
    <w:name w:val="Comment Text Char"/>
    <w:basedOn w:val="DefaultParagraphFont"/>
    <w:link w:val="CommentText"/>
    <w:uiPriority w:val="99"/>
    <w:rsid w:val="00324B44"/>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24B44"/>
    <w:rPr>
      <w:b/>
      <w:bCs/>
    </w:rPr>
  </w:style>
  <w:style w:type="character" w:customStyle="1" w:styleId="CommentSubjectChar">
    <w:name w:val="Comment Subject Char"/>
    <w:basedOn w:val="CommentTextChar"/>
    <w:link w:val="CommentSubject"/>
    <w:uiPriority w:val="99"/>
    <w:semiHidden/>
    <w:rsid w:val="00324B44"/>
    <w:rPr>
      <w:rFonts w:ascii="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3334">
      <w:bodyDiv w:val="1"/>
      <w:marLeft w:val="0"/>
      <w:marRight w:val="0"/>
      <w:marTop w:val="0"/>
      <w:marBottom w:val="0"/>
      <w:divBdr>
        <w:top w:val="none" w:sz="0" w:space="0" w:color="auto"/>
        <w:left w:val="none" w:sz="0" w:space="0" w:color="auto"/>
        <w:bottom w:val="none" w:sz="0" w:space="0" w:color="auto"/>
        <w:right w:val="none" w:sz="0" w:space="0" w:color="auto"/>
      </w:divBdr>
    </w:div>
    <w:div w:id="483788735">
      <w:bodyDiv w:val="1"/>
      <w:marLeft w:val="0"/>
      <w:marRight w:val="0"/>
      <w:marTop w:val="0"/>
      <w:marBottom w:val="0"/>
      <w:divBdr>
        <w:top w:val="none" w:sz="0" w:space="0" w:color="auto"/>
        <w:left w:val="none" w:sz="0" w:space="0" w:color="auto"/>
        <w:bottom w:val="none" w:sz="0" w:space="0" w:color="auto"/>
        <w:right w:val="none" w:sz="0" w:space="0" w:color="auto"/>
      </w:divBdr>
    </w:div>
    <w:div w:id="1794712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fos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Teng</dc:creator>
  <cp:keywords/>
  <dc:description/>
  <cp:lastModifiedBy>Bill Warelis</cp:lastModifiedBy>
  <cp:revision>2</cp:revision>
  <cp:lastPrinted>2025-08-14T06:21:00Z</cp:lastPrinted>
  <dcterms:created xsi:type="dcterms:W3CDTF">2025-11-26T20:57:00Z</dcterms:created>
  <dcterms:modified xsi:type="dcterms:W3CDTF">2025-11-26T20:57:00Z</dcterms:modified>
  <cp:category/>
</cp:coreProperties>
</file>